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C" w:rsidRPr="006E147F" w:rsidRDefault="006E147F">
      <w:pPr>
        <w:pStyle w:val="aa"/>
        <w:spacing w:line="360" w:lineRule="auto"/>
        <w:rPr>
          <w:b w:val="0"/>
          <w:szCs w:val="28"/>
        </w:rPr>
      </w:pPr>
      <w:r>
        <w:t xml:space="preserve">                                                                                  </w:t>
      </w: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C02138">
        <w:rPr>
          <w:sz w:val="28"/>
        </w:rPr>
        <w:t>октябрь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C02138">
        <w:rPr>
          <w:sz w:val="28"/>
        </w:rPr>
        <w:t>октябре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6E147F">
        <w:rPr>
          <w:sz w:val="28"/>
        </w:rPr>
        <w:t>8</w:t>
      </w:r>
      <w:r>
        <w:rPr>
          <w:sz w:val="28"/>
        </w:rPr>
        <w:t xml:space="preserve"> обращени</w:t>
      </w:r>
      <w:r w:rsidR="00C02138">
        <w:rPr>
          <w:sz w:val="28"/>
        </w:rPr>
        <w:t>й</w:t>
      </w:r>
      <w:r w:rsidR="00BC21F0">
        <w:rPr>
          <w:sz w:val="28"/>
        </w:rPr>
        <w:t xml:space="preserve"> </w:t>
      </w:r>
      <w:r w:rsidR="00765153">
        <w:rPr>
          <w:sz w:val="28"/>
        </w:rPr>
        <w:t xml:space="preserve">граждан, в том числе интернет обращений -4 (что составляет </w:t>
      </w:r>
      <w:r w:rsidR="006E147F">
        <w:rPr>
          <w:sz w:val="28"/>
        </w:rPr>
        <w:t>63</w:t>
      </w:r>
      <w:r w:rsidR="00765153">
        <w:rPr>
          <w:sz w:val="28"/>
        </w:rPr>
        <w:t>% от поступивших обращений), перенаправлено из ФНС России -1 обращение (что составляет 1</w:t>
      </w:r>
      <w:r w:rsidR="006E147F">
        <w:rPr>
          <w:sz w:val="28"/>
        </w:rPr>
        <w:t>2</w:t>
      </w:r>
      <w:r w:rsidR="00765153">
        <w:rPr>
          <w:sz w:val="28"/>
        </w:rPr>
        <w:t xml:space="preserve">% от поступивших обращений), </w:t>
      </w:r>
      <w:r w:rsidR="00BC21F0">
        <w:rPr>
          <w:sz w:val="28"/>
        </w:rPr>
        <w:t xml:space="preserve"> на бумажном носителе</w:t>
      </w:r>
      <w:r w:rsidR="00765153">
        <w:rPr>
          <w:sz w:val="28"/>
        </w:rPr>
        <w:t xml:space="preserve"> поступило 2 обращения </w:t>
      </w:r>
      <w:r w:rsidR="00A47044">
        <w:rPr>
          <w:sz w:val="28"/>
        </w:rPr>
        <w:t xml:space="preserve">(что составляет </w:t>
      </w:r>
      <w:r w:rsidR="006E147F">
        <w:rPr>
          <w:sz w:val="28"/>
        </w:rPr>
        <w:t>25</w:t>
      </w:r>
      <w:r w:rsidR="00A47044">
        <w:rPr>
          <w:sz w:val="28"/>
        </w:rPr>
        <w:t>% от поступивших обращений)</w:t>
      </w:r>
      <w:r w:rsidR="00BC21F0">
        <w:rPr>
          <w:sz w:val="28"/>
        </w:rPr>
        <w:t>.</w:t>
      </w:r>
      <w:proofErr w:type="gramEnd"/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C02138">
        <w:rPr>
          <w:sz w:val="28"/>
        </w:rPr>
        <w:t>октябре</w:t>
      </w:r>
      <w:r w:rsidR="007F7C35">
        <w:rPr>
          <w:sz w:val="28"/>
        </w:rPr>
        <w:t xml:space="preserve"> </w:t>
      </w:r>
      <w:r>
        <w:rPr>
          <w:sz w:val="28"/>
        </w:rPr>
        <w:t xml:space="preserve"> 2020</w:t>
      </w:r>
      <w:r w:rsidR="00765153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4F79C0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6E147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BD5B2C" w:rsidRDefault="00BC21F0" w:rsidP="00C853F0">
            <w:r>
              <w:t>10</w:t>
            </w:r>
            <w:r w:rsidR="007271BD">
              <w:t>0</w:t>
            </w:r>
            <w:r w:rsidR="00C853F0">
              <w:t>%</w:t>
            </w:r>
          </w:p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4F79C0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Отдел кадров и безопасности</w:t>
            </w:r>
          </w:p>
        </w:tc>
        <w:tc>
          <w:tcPr>
            <w:tcW w:w="1842" w:type="dxa"/>
            <w:shd w:val="clear" w:color="auto" w:fill="auto"/>
          </w:tcPr>
          <w:p w:rsidR="004F79C0" w:rsidRDefault="004F79C0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4F79C0" w:rsidRDefault="004F79C0" w:rsidP="00C853F0"/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4F79C0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Контрольный отдел</w:t>
            </w:r>
          </w:p>
        </w:tc>
        <w:tc>
          <w:tcPr>
            <w:tcW w:w="1842" w:type="dxa"/>
            <w:shd w:val="clear" w:color="auto" w:fill="auto"/>
          </w:tcPr>
          <w:p w:rsidR="004F79C0" w:rsidRDefault="004F79C0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F79C0" w:rsidRDefault="004F79C0" w:rsidP="00C853F0"/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4F79C0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обеспечения</w:t>
            </w:r>
          </w:p>
        </w:tc>
        <w:tc>
          <w:tcPr>
            <w:tcW w:w="1842" w:type="dxa"/>
            <w:shd w:val="clear" w:color="auto" w:fill="auto"/>
          </w:tcPr>
          <w:p w:rsidR="004F79C0" w:rsidRDefault="004F79C0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F79C0" w:rsidRDefault="004F79C0" w:rsidP="00C853F0"/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6E147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7271BD" w:rsidRDefault="002423CD">
            <w: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02138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C02138">
        <w:rPr>
          <w:sz w:val="28"/>
        </w:rPr>
        <w:t>ноября</w:t>
      </w:r>
      <w:r>
        <w:rPr>
          <w:sz w:val="28"/>
        </w:rPr>
        <w:t xml:space="preserve"> 2020 </w:t>
      </w:r>
      <w:r w:rsidR="00765153">
        <w:rPr>
          <w:sz w:val="28"/>
        </w:rPr>
        <w:t>-</w:t>
      </w:r>
      <w:r w:rsidR="006E147F">
        <w:rPr>
          <w:sz w:val="28"/>
        </w:rPr>
        <w:t>4</w:t>
      </w:r>
      <w:r w:rsidR="00C02138">
        <w:rPr>
          <w:sz w:val="28"/>
        </w:rPr>
        <w:t xml:space="preserve"> обращения не исполнены, т.к. не подошел срок исполнения.</w:t>
      </w:r>
      <w:r w:rsidR="007F7C35">
        <w:rPr>
          <w:sz w:val="28"/>
        </w:rPr>
        <w:t xml:space="preserve">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 w:rsidR="000B4413">
        <w:rPr>
          <w:b/>
          <w:sz w:val="28"/>
        </w:rPr>
        <w:t xml:space="preserve"> </w:t>
      </w:r>
      <w:r>
        <w:rPr>
          <w:b/>
          <w:sz w:val="28"/>
        </w:rPr>
        <w:t xml:space="preserve">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C02138">
        <w:rPr>
          <w:sz w:val="28"/>
        </w:rPr>
        <w:t>октябре</w:t>
      </w:r>
      <w:r>
        <w:rPr>
          <w:sz w:val="28"/>
        </w:rPr>
        <w:t xml:space="preserve">  2020 года в Инспекции поступило на рассмотрение </w:t>
      </w:r>
      <w:r w:rsidR="000B4413" w:rsidRPr="000B4413">
        <w:rPr>
          <w:color w:val="000000" w:themeColor="text1"/>
          <w:sz w:val="28"/>
        </w:rPr>
        <w:t>79</w:t>
      </w:r>
      <w:r>
        <w:rPr>
          <w:sz w:val="28"/>
        </w:rPr>
        <w:t xml:space="preserve"> обращений  граждан, на контроль поставлено</w:t>
      </w:r>
      <w:r w:rsidR="00055EA9">
        <w:rPr>
          <w:sz w:val="28"/>
        </w:rPr>
        <w:t xml:space="preserve"> </w:t>
      </w:r>
      <w:r w:rsidR="000B4413" w:rsidRPr="000B4413">
        <w:rPr>
          <w:color w:val="000000" w:themeColor="text1"/>
          <w:sz w:val="28"/>
        </w:rPr>
        <w:t>79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proofErr w:type="spellStart"/>
      <w:r>
        <w:rPr>
          <w:b/>
          <w:sz w:val="27"/>
        </w:rPr>
        <w:t>c</w:t>
      </w:r>
      <w:proofErr w:type="spellEnd"/>
      <w:r>
        <w:rPr>
          <w:b/>
          <w:sz w:val="27"/>
        </w:rPr>
        <w:t xml:space="preserve"> 01.</w:t>
      </w:r>
      <w:r w:rsidR="00C02138">
        <w:rPr>
          <w:b/>
          <w:sz w:val="27"/>
        </w:rPr>
        <w:t>10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C02138">
        <w:rPr>
          <w:b/>
          <w:sz w:val="27"/>
        </w:rPr>
        <w:t>1</w:t>
      </w:r>
      <w:r>
        <w:rPr>
          <w:b/>
          <w:sz w:val="27"/>
        </w:rPr>
        <w:t>.</w:t>
      </w:r>
      <w:r w:rsidR="00C02138">
        <w:rPr>
          <w:b/>
          <w:sz w:val="27"/>
        </w:rPr>
        <w:t>10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 xml:space="preserve">Обжалование действий (бездействий) государственных </w:t>
            </w:r>
            <w:r>
              <w:lastRenderedPageBreak/>
              <w:t>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lastRenderedPageBreak/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 xml:space="preserve">Развитие предпринимательской деятельности, малый и средний </w:t>
            </w:r>
            <w:r>
              <w:lastRenderedPageBreak/>
              <w:t>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0D6BA6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F874C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Право собственности и другие вещные права (за </w:t>
            </w:r>
            <w:r>
              <w:rPr>
                <w:b/>
                <w:color w:val="800000"/>
              </w:rPr>
              <w:lastRenderedPageBreak/>
              <w:t>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0D6BA6">
            <w:pPr>
              <w:jc w:val="center"/>
            </w:pPr>
            <w:r>
              <w:t>11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Tr="005E382E">
        <w:trPr>
          <w:trHeight w:val="244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0D6BA6" w:rsidP="00CB4708">
            <w:pPr>
              <w:jc w:val="center"/>
            </w:pPr>
            <w:r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0D6BA6" w:rsidP="000D6BA6">
            <w:pPr>
              <w:jc w:val="center"/>
            </w:pPr>
            <w:r>
              <w:t>22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0D6BA6">
            <w:pPr>
              <w:jc w:val="center"/>
            </w:pPr>
            <w:r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0D6BA6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0D6BA6">
            <w:pPr>
              <w:jc w:val="center"/>
            </w:pPr>
            <w:r>
              <w:t>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0D6BA6">
            <w:pPr>
              <w:jc w:val="center"/>
            </w:pPr>
            <w:r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0B4413">
            <w:pPr>
              <w:jc w:val="center"/>
            </w:pPr>
            <w:r>
              <w:t>9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lastRenderedPageBreak/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0B441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DC4751">
      <w:pPr>
        <w:rPr>
          <w:sz w:val="20"/>
        </w:rPr>
      </w:pPr>
      <w:r>
        <w:rPr>
          <w:sz w:val="20"/>
        </w:rPr>
        <w:t>Главный специалист-эксперт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8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A6" w:rsidRDefault="000D6BA6" w:rsidP="00BD5B2C">
      <w:r>
        <w:separator/>
      </w:r>
    </w:p>
  </w:endnote>
  <w:endnote w:type="continuationSeparator" w:id="1">
    <w:p w:rsidR="000D6BA6" w:rsidRDefault="000D6BA6" w:rsidP="00B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A6" w:rsidRDefault="000D6BA6" w:rsidP="00BD5B2C">
      <w:r>
        <w:separator/>
      </w:r>
    </w:p>
  </w:footnote>
  <w:footnote w:type="continuationSeparator" w:id="1">
    <w:p w:rsidR="000D6BA6" w:rsidRDefault="000D6BA6" w:rsidP="00B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F33DE3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 w:rsidR="000D6BA6"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6E147F">
      <w:rPr>
        <w:rStyle w:val="af6"/>
        <w:noProof/>
        <w:sz w:val="22"/>
      </w:rPr>
      <w:t>2</w:t>
    </w:r>
    <w:r>
      <w:rPr>
        <w:rStyle w:val="af6"/>
        <w:sz w:val="22"/>
      </w:rPr>
      <w:fldChar w:fldCharType="end"/>
    </w:r>
  </w:p>
  <w:p w:rsidR="000D6BA6" w:rsidRDefault="000D6BA6">
    <w:pPr>
      <w:pStyle w:val="a8"/>
      <w:ind w:right="360"/>
    </w:pPr>
  </w:p>
  <w:p w:rsidR="000D6BA6" w:rsidRDefault="000D6BA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2C"/>
    <w:rsid w:val="00053613"/>
    <w:rsid w:val="00055EA9"/>
    <w:rsid w:val="000B4413"/>
    <w:rsid w:val="000D6BA6"/>
    <w:rsid w:val="00233D9F"/>
    <w:rsid w:val="002423CD"/>
    <w:rsid w:val="002635ED"/>
    <w:rsid w:val="0027459F"/>
    <w:rsid w:val="00310E11"/>
    <w:rsid w:val="003731F9"/>
    <w:rsid w:val="00397D4B"/>
    <w:rsid w:val="003B1779"/>
    <w:rsid w:val="004F79C0"/>
    <w:rsid w:val="005333DA"/>
    <w:rsid w:val="00542C1C"/>
    <w:rsid w:val="00580398"/>
    <w:rsid w:val="005D0599"/>
    <w:rsid w:val="005E382E"/>
    <w:rsid w:val="00684341"/>
    <w:rsid w:val="00693394"/>
    <w:rsid w:val="006C18CC"/>
    <w:rsid w:val="006E147F"/>
    <w:rsid w:val="007271BD"/>
    <w:rsid w:val="00765153"/>
    <w:rsid w:val="007F135D"/>
    <w:rsid w:val="007F7C35"/>
    <w:rsid w:val="0081659E"/>
    <w:rsid w:val="00823DAC"/>
    <w:rsid w:val="009B3DFA"/>
    <w:rsid w:val="009E3F8D"/>
    <w:rsid w:val="00A47044"/>
    <w:rsid w:val="00AA291A"/>
    <w:rsid w:val="00AA7419"/>
    <w:rsid w:val="00BA215B"/>
    <w:rsid w:val="00BC21F0"/>
    <w:rsid w:val="00BD5B2C"/>
    <w:rsid w:val="00BF20F1"/>
    <w:rsid w:val="00C02138"/>
    <w:rsid w:val="00C02CFE"/>
    <w:rsid w:val="00C41F40"/>
    <w:rsid w:val="00C853F0"/>
    <w:rsid w:val="00CB4708"/>
    <w:rsid w:val="00CE311A"/>
    <w:rsid w:val="00D31AD8"/>
    <w:rsid w:val="00DC4751"/>
    <w:rsid w:val="00E167F4"/>
    <w:rsid w:val="00E25F2F"/>
    <w:rsid w:val="00EA2B90"/>
    <w:rsid w:val="00F05235"/>
    <w:rsid w:val="00F33DE3"/>
    <w:rsid w:val="00F8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link w:val="3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7DE-406E-4B10-B6B7-4393DE6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3</cp:revision>
  <cp:lastPrinted>2020-11-06T07:23:00Z</cp:lastPrinted>
  <dcterms:created xsi:type="dcterms:W3CDTF">2020-11-03T12:42:00Z</dcterms:created>
  <dcterms:modified xsi:type="dcterms:W3CDTF">2020-11-06T07:23:00Z</dcterms:modified>
</cp:coreProperties>
</file>